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0E" w:rsidRDefault="009764D9">
      <w:pPr>
        <w:shd w:val="clear" w:color="auto" w:fill="FFFFFF"/>
        <w:spacing w:before="375" w:after="225" w:line="240" w:lineRule="auto"/>
        <w:ind w:firstLine="0"/>
        <w:jc w:val="center"/>
        <w:textAlignment w:val="baseline"/>
        <w:outlineLvl w:val="1"/>
        <w:rPr>
          <w:sz w:val="22"/>
          <w:szCs w:val="24"/>
        </w:rPr>
      </w:pPr>
      <w:r>
        <w:rPr>
          <w:rFonts w:eastAsiaTheme="majorEastAsia" w:cstheme="majorBidi"/>
          <w:b/>
          <w:bCs/>
          <w:szCs w:val="28"/>
        </w:rPr>
        <w:t>Приложение Б</w:t>
      </w:r>
      <w:r>
        <w:rPr>
          <w:rFonts w:eastAsiaTheme="majorEastAsia" w:cstheme="majorBidi"/>
          <w:b/>
          <w:bCs/>
          <w:szCs w:val="28"/>
        </w:rPr>
        <w:br/>
      </w:r>
      <w:r>
        <w:rPr>
          <w:sz w:val="22"/>
          <w:szCs w:val="24"/>
        </w:rPr>
        <w:t>(справочное)</w:t>
      </w:r>
    </w:p>
    <w:p w:rsidR="00C56D0E" w:rsidRDefault="009764D9">
      <w:pPr>
        <w:pStyle w:val="af6"/>
        <w:shd w:val="clear" w:color="auto" w:fill="FFFFFF"/>
        <w:spacing w:before="0" w:beforeAutospacing="0" w:after="120" w:afterAutospacing="0"/>
        <w:jc w:val="right"/>
        <w:rPr>
          <w:sz w:val="22"/>
        </w:rPr>
      </w:pPr>
      <w:r>
        <w:rPr>
          <w:sz w:val="22"/>
        </w:rPr>
        <w:t>УТВЕРЖДЕНА</w:t>
      </w:r>
      <w:r>
        <w:rPr>
          <w:sz w:val="22"/>
        </w:rPr>
        <w:br/>
      </w:r>
      <w:r>
        <w:rPr>
          <w:rStyle w:val="a5"/>
          <w:rFonts w:eastAsiaTheme="majorEastAsia"/>
          <w:color w:val="auto"/>
          <w:sz w:val="22"/>
          <w:u w:val="none"/>
        </w:rPr>
        <w:t>Постановлением Правительства</w:t>
      </w:r>
      <w:r>
        <w:rPr>
          <w:sz w:val="22"/>
        </w:rPr>
        <w:br/>
        <w:t>Российской Федерации</w:t>
      </w:r>
      <w:r>
        <w:rPr>
          <w:sz w:val="22"/>
        </w:rPr>
        <w:br/>
        <w:t>от 6 октября 2025 г. N 1552</w:t>
      </w:r>
    </w:p>
    <w:p w:rsidR="00C56D0E" w:rsidRDefault="009764D9">
      <w:pPr>
        <w:shd w:val="clear" w:color="auto" w:fill="FFFFFF"/>
        <w:spacing w:after="0" w:line="240" w:lineRule="auto"/>
        <w:jc w:val="center"/>
        <w:rPr>
          <w:rFonts w:eastAsia="Times New Roman" w:cs="Times New Roman"/>
          <w:b/>
          <w:color w:val="212529"/>
          <w:szCs w:val="24"/>
          <w:lang w:eastAsia="ru-RU"/>
        </w:rPr>
      </w:pPr>
      <w:r>
        <w:rPr>
          <w:rFonts w:eastAsia="Times New Roman" w:cs="Times New Roman"/>
          <w:b/>
          <w:color w:val="212529"/>
          <w:szCs w:val="24"/>
          <w:lang w:eastAsia="ru-RU"/>
        </w:rPr>
        <w:t>Методика оценки уровней готовности технологий</w:t>
      </w:r>
    </w:p>
    <w:p w:rsidR="00C56D0E" w:rsidRDefault="00C56D0E">
      <w:pPr>
        <w:shd w:val="clear" w:color="auto" w:fill="FFFFFF"/>
        <w:spacing w:after="0" w:line="240" w:lineRule="auto"/>
        <w:jc w:val="center"/>
        <w:rPr>
          <w:rFonts w:eastAsia="Times New Roman" w:cs="Times New Roman"/>
          <w:b/>
          <w:color w:val="212529"/>
          <w:szCs w:val="24"/>
          <w:lang w:eastAsia="ru-RU"/>
        </w:rPr>
      </w:pP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1. Настоящий документ устанавливает условия оценки уровней готовности технологий в зависимости от стадии жизненного цикла товаров, работ и услуг (далее - продукция) (совокупности взаимосвязанных процессов последовательного изменения состояния продукции от формирования исходных требований к ней до окончания ее эксплуатации или применения) и предназначен для использования организациями, которые получили финансирование через агентов развития технологий или которым предоставлены меры государственного стимулирования, предусмотренные статьей 22 Федерального закона "О технологической политике в Российской Федерации и о внесении изменений в отдельные законодательные акты Российской Федерации".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2. В настоящем документе используются понятия, предусмотренные Федеральным законом "О технологической политике в Российской Федерации и о внесении изменений в отдельные законодательные акты Российской Федерации", а также следующие понятия: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"инвестор" - физическое или юридическое лицо, вкладывающее денежные средства или иное имущество в проект на установленный срок с условием возвратности и при необходимости платности;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"инициатор" - физическое или юридическое лицо, выступающее инициатором и одним из выгодоприобретателей проекта, являющегося объектом оценки уровня готовности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"проект" -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требованиям, установленным инициатором или инвестором, включая ограничения по срокам, стоимости и ресурсам;</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"уровень готовности технологии" - стадия развития технологии, создание и (или) внедрение которой (в том числе посредством трансфера, разработки, коммерциализации и масштабирования) предусмотрено в рамках реализации проекта.</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3. Оценка уровня готовности технологии осуществляется в целях принятия решения о дальнейшем продвижении разработанной на основе технологии продукции по шкале оценки уровней готовности технологий согласно </w:t>
      </w:r>
      <w:hyperlink r:id="rId9" w:anchor="21000" w:history="1">
        <w:r>
          <w:rPr>
            <w:rFonts w:eastAsia="Times New Roman" w:cs="Times New Roman"/>
            <w:color w:val="6C757D"/>
            <w:sz w:val="18"/>
            <w:szCs w:val="18"/>
            <w:u w:val="single"/>
            <w:lang w:eastAsia="ru-RU"/>
          </w:rPr>
          <w:t>приложению</w:t>
        </w:r>
      </w:hyperlink>
      <w:r>
        <w:rPr>
          <w:rFonts w:eastAsia="Times New Roman" w:cs="Times New Roman"/>
          <w:color w:val="212529"/>
          <w:sz w:val="18"/>
          <w:szCs w:val="18"/>
          <w:lang w:eastAsia="ru-RU"/>
        </w:rPr>
        <w:t> (далее - шкала готовности технологий) с учетом того, что шкала готовности технологий совершенство технологий не определяет и идентичные технологии могут иметь разные уровни готовности при применении их в разных производствах.</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4. Сторонами проведения оценки уровня готовности технологии являются: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инициатор;</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б) экспертная организация, привлекаемая для оценки уровня готовности технологии (далее - экспертная организация). Требования к отбору экспертной организации при необходимости могут устанавливаться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в) организация, принимающая технологии, которая осуществляет оценку уровня готовности технологии (далее - организация, принимающая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г) инвестор.</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5. Инициатор самостоятельно или с привлечением экспертной организации проводит внутреннюю оценку уровня готовности технологии. Организация, принимающая технологии, и инвестор самостоятельно или с привлечением экспертной организации проводят внешнюю оценку уровня готовности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6. Оценка уровня готовности технологии, за исключением случаев предоставления сведений об уровнях готовности технологий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информационная система) в соответствии с пунктом 3</w:t>
      </w:r>
      <w:r>
        <w:rPr>
          <w:rFonts w:eastAsia="Times New Roman" w:cs="Times New Roman"/>
          <w:color w:val="212529"/>
          <w:sz w:val="18"/>
          <w:szCs w:val="18"/>
          <w:vertAlign w:val="superscript"/>
          <w:lang w:eastAsia="ru-RU"/>
        </w:rPr>
        <w:t>1</w:t>
      </w:r>
      <w:r>
        <w:rPr>
          <w:rFonts w:eastAsia="Times New Roman" w:cs="Times New Roman"/>
          <w:color w:val="212529"/>
          <w:sz w:val="18"/>
          <w:szCs w:val="18"/>
          <w:lang w:eastAsia="ru-RU"/>
        </w:rPr>
        <w:t>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осуществляется в соответствии со следующими этапами: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формирование технического задания на проведение оценки целевого уровня готовности технологии, которую может осуществить инициатор, инвестор либо организация, принимающая технологии. Целевым уровнем готовности технологии является уровень, достижение которого необходимо инициатору, инвестору либо организации, принимающей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б) разработка плана мероприятий по проведению оценки уровня готовности технологии, которая может быть выполнена инициатором, инвестором либо организацией, принимающей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в) проведение оценки уровня готовности технологии в соответствии с разработанным планом мероприятий по проведению оценки уровня готовности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г) формирование отчета об оценке уровня готовности технологии, который должен содержать заключение о достижении целевого уровня готовности технологии и может быть сформирован проводящим оценку уровня готовности технологии лицом самостоятельно или с привлечением экспертной организации;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lastRenderedPageBreak/>
        <w:t>д) если целевой уровень готовности технологии не был достигнут, инициатор разрабатывает план мероприятий по достижению целевого уровня готовности технологии, руководствуясь рекомендациями сформированного отчета об оценке уровня готовности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7. К объективным свидетельствам достижения уровня готовности технологии для целей настоящего документа могут относиться документы, подтверждающие выполнение инициатором условий достижения соответствующего уровня готовности технологии, указанные в </w:t>
      </w:r>
      <w:hyperlink r:id="rId10" w:anchor="21000" w:history="1">
        <w:r>
          <w:rPr>
            <w:rFonts w:eastAsia="Times New Roman" w:cs="Times New Roman"/>
            <w:color w:val="6C757D"/>
            <w:sz w:val="18"/>
            <w:szCs w:val="18"/>
            <w:u w:val="single"/>
            <w:lang w:eastAsia="ru-RU"/>
          </w:rPr>
          <w:t>шкале</w:t>
        </w:r>
      </w:hyperlink>
      <w:r>
        <w:rPr>
          <w:rFonts w:eastAsia="Times New Roman" w:cs="Times New Roman"/>
          <w:color w:val="212529"/>
          <w:sz w:val="18"/>
          <w:szCs w:val="18"/>
          <w:lang w:eastAsia="ru-RU"/>
        </w:rPr>
        <w:t> готовности технологий. Форма и структура указанных документов могут отличаться в зависимости от особенностей деятельности инициатора, особенностей деятельности потенциального инвестора и типа проекта.</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8. В случае предоставления сведений об уровнях готовности технологий в информационную систему оценка уровня готовности технологии осуществляется инициатором или инвестором самостоятельно или с привлечением экспертной организации посредством установления достижения результатов, соответствующих каждому уровню готовности технологии, на основании сведений, содержащихся в информационной системе. Уровень готовности технологии в указанном случае считается достигнутым, в том числе на основании документальных подтверждений результатов, соответствующих уровню готовности технологии, при установлении достижения:</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а) всех результатов, соответствующих уровню готовности технологии;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б) всех обязательных для достижения результатов, соответствующих уровню готовности технологии, в случае если такие результаты в соответствии с пунктом 4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9. Федеральные органы исполнительной власти и государственные корпорации вправе с учетом отраслевой специфики определять описание основных характеристик и результаты, отличные от тех, что установлены в </w:t>
      </w:r>
      <w:hyperlink r:id="rId11" w:anchor="21000" w:history="1">
        <w:r>
          <w:rPr>
            <w:rFonts w:eastAsia="Times New Roman" w:cs="Times New Roman"/>
            <w:color w:val="6C757D"/>
            <w:sz w:val="18"/>
            <w:szCs w:val="18"/>
            <w:u w:val="single"/>
            <w:lang w:eastAsia="ru-RU"/>
          </w:rPr>
          <w:t>шкале</w:t>
        </w:r>
      </w:hyperlink>
      <w:r>
        <w:rPr>
          <w:rFonts w:eastAsia="Times New Roman" w:cs="Times New Roman"/>
          <w:color w:val="212529"/>
          <w:sz w:val="18"/>
          <w:szCs w:val="18"/>
          <w:lang w:eastAsia="ru-RU"/>
        </w:rPr>
        <w:t> готовности технологий, в том числе в форме справочников государственных информационных систем, обеспечив соблюдение уровней готовности технологий, предусмотренных шкалой готовности технологий.</w:t>
      </w:r>
    </w:p>
    <w:p w:rsidR="00C56D0E" w:rsidRDefault="009764D9">
      <w:pPr>
        <w:shd w:val="clear" w:color="auto" w:fill="FFFFFF"/>
        <w:spacing w:after="0" w:line="240" w:lineRule="auto"/>
        <w:ind w:firstLine="567"/>
        <w:rPr>
          <w:rFonts w:eastAsia="Times New Roman" w:cs="Times New Roman"/>
          <w:color w:val="212529"/>
          <w:sz w:val="18"/>
          <w:szCs w:val="18"/>
          <w:lang w:eastAsia="ru-RU"/>
        </w:rPr>
      </w:pPr>
      <w:r>
        <w:rPr>
          <w:rFonts w:eastAsia="Times New Roman" w:cs="Times New Roman"/>
          <w:color w:val="212529"/>
          <w:sz w:val="18"/>
          <w:szCs w:val="18"/>
          <w:lang w:eastAsia="ru-RU"/>
        </w:rPr>
        <w:t>10. Для оценки уровня готовности технологии экспертная организация вправе запросить у инициатора соответствующие оцениваемому уровню готовности технологии документы или документы, подтверждающие достижение результатов, соответствующих оцениваемому уровню готовности технологии. Непредставление указанных документов является невыполнением инициатором оцениваемого уровня готовности технологии.</w:t>
      </w:r>
    </w:p>
    <w:p w:rsidR="00C56D0E" w:rsidRDefault="009764D9">
      <w:pPr>
        <w:shd w:val="clear" w:color="auto" w:fill="FFFFFF"/>
        <w:spacing w:after="100" w:afterAutospacing="1" w:line="240" w:lineRule="auto"/>
        <w:ind w:firstLine="567"/>
        <w:jc w:val="right"/>
        <w:rPr>
          <w:rFonts w:eastAsia="Times New Roman" w:cs="Times New Roman"/>
          <w:color w:val="212529"/>
          <w:szCs w:val="24"/>
          <w:lang w:eastAsia="ru-RU"/>
        </w:rPr>
      </w:pPr>
      <w:r>
        <w:rPr>
          <w:rFonts w:eastAsia="Times New Roman" w:cs="Times New Roman"/>
          <w:color w:val="212529"/>
          <w:szCs w:val="24"/>
          <w:lang w:eastAsia="ru-RU"/>
        </w:rPr>
        <w:t>Приложение</w:t>
      </w:r>
      <w:r>
        <w:rPr>
          <w:rFonts w:eastAsia="Times New Roman" w:cs="Times New Roman"/>
          <w:color w:val="212529"/>
          <w:szCs w:val="24"/>
          <w:lang w:eastAsia="ru-RU"/>
        </w:rPr>
        <w:br/>
        <w:t>к методике оценки уровней</w:t>
      </w:r>
      <w:r>
        <w:rPr>
          <w:rFonts w:eastAsia="Times New Roman" w:cs="Times New Roman"/>
          <w:color w:val="212529"/>
          <w:szCs w:val="24"/>
          <w:lang w:eastAsia="ru-RU"/>
        </w:rPr>
        <w:br/>
        <w:t>готовности технологий</w:t>
      </w:r>
    </w:p>
    <w:p w:rsidR="00C56D0E" w:rsidRDefault="009764D9">
      <w:pPr>
        <w:shd w:val="clear" w:color="auto" w:fill="FFFFFF"/>
        <w:spacing w:after="100" w:afterAutospacing="1" w:line="240" w:lineRule="auto"/>
        <w:jc w:val="center"/>
        <w:rPr>
          <w:rFonts w:eastAsia="Times New Roman" w:cs="Times New Roman"/>
          <w:b/>
          <w:color w:val="212529"/>
          <w:szCs w:val="24"/>
          <w:lang w:eastAsia="ru-RU"/>
        </w:rPr>
      </w:pPr>
      <w:r>
        <w:rPr>
          <w:rFonts w:eastAsia="Times New Roman" w:cs="Times New Roman"/>
          <w:b/>
          <w:color w:val="212529"/>
          <w:szCs w:val="24"/>
          <w:lang w:eastAsia="ru-RU"/>
        </w:rPr>
        <w:t>Шкала оценки уровней готовности технологий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48"/>
        <w:gridCol w:w="3479"/>
        <w:gridCol w:w="3622"/>
      </w:tblGrid>
      <w:tr w:rsidR="00C56D0E">
        <w:trPr>
          <w:tblHeader/>
        </w:trPr>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hanging="18"/>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Уровень готовности технологий</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firstLine="16"/>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Описание основных характеристик уровня готовности технологий</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firstLine="0"/>
              <w:jc w:val="center"/>
              <w:rPr>
                <w:rFonts w:eastAsia="Times New Roman" w:cs="Times New Roman"/>
                <w:b/>
                <w:bCs/>
                <w:color w:val="212529"/>
                <w:sz w:val="20"/>
                <w:szCs w:val="24"/>
                <w:lang w:eastAsia="ru-RU"/>
              </w:rPr>
            </w:pPr>
            <w:r>
              <w:rPr>
                <w:rFonts w:eastAsia="Times New Roman" w:cs="Times New Roman"/>
                <w:b/>
                <w:bCs/>
                <w:color w:val="212529"/>
                <w:sz w:val="20"/>
                <w:szCs w:val="24"/>
                <w:lang w:eastAsia="ru-RU"/>
              </w:rPr>
              <w:t>Результаты, соответствующие уровню готовности технологий</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Первый уровень готовности технологий "Определение фундаментальной концепции технологии"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сформулирована фундаментальная концепция технологии и обоснована ее полезность. Сформулирована проблема и проанализировано ее техническое решение. Определена модель организации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физическое лицо или юридическое лицо, выступающее инициатором и одним из выгодоприобретателей проекта, являющегося объектом оценки уровня готовности технологий (далее - инициатор), должно определить фундаментальную концепцию технологии и обосновать ее полезность. Фундаментальная концепция технологии может быть сформулирована тезисно, без детального описания технического решения выявленной проблемы. Инициатор должен: выявить и задокументировать посредством разработки внутренней нормативно-технической документации фундаментальные принципы технологии; сформулировать проблему, для решения которой будет разработана технология; сформулировать и проанализировать техническое решение выявленной проблемы; определить модель организации работ; при обосновании </w:t>
            </w:r>
            <w:r>
              <w:rPr>
                <w:rFonts w:eastAsia="Times New Roman" w:cs="Times New Roman"/>
                <w:color w:val="212529"/>
                <w:sz w:val="20"/>
                <w:szCs w:val="24"/>
                <w:lang w:eastAsia="ru-RU"/>
              </w:rPr>
              <w:lastRenderedPageBreak/>
              <w:t>вариантов решения проблемы учитывать в том числе удобство, возможность реализации, востребованность разрабатываемой технологии; представить экспертной организации, привлекаемой для оценки уровня готовности технологий (далее - экспертная организация), описание разрабатываемой технологии и ее принципов, данные по определению проблемы, документы, доказывающие обоснованность вариантов решения проблемы</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Второй уровень готовности технологий "Определение технологической концепции"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сформулирована технологическая концепция. Определены целевые области применения технологии. Доказано эффективное применение технического решения. Выявлены критические элементы технологии. Сформировано техническое задание на разработку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сформулировать технологическую концепцию посредством определения целевых областей применения разрабатываемой технологии и выявления критических элементов технологии. Определение целевых областей зависит от уровня современных технологий в рамках выбранного целевого рынка. Выбор целевого рынка следует осуществлять, руководствуясь степенью развития разрабатываемой технологии в целях осуществления успешного запуска и интегрирования продукции на рынке. Критические элементы технологии и методика внутреннего контроля над ними могут быть сформулированы и описаны в общих чертах и быть предварительными. Инициатор должен: сформулировать одну или несколько возможных технологических концепций для решения ранее выявленных проблем; обосновать цели разработки технологии; подтвердить обоснованность концепций технологии; доказать эффективное применение технического решения; выявить критические элементы технологии и разработать методику внутреннего контроля над ними; сформировать техническое задание на разработку новой (модернизированной, модифицированной) продукции и конструкторской документации на нее. Эффективность использования решения характеризуется прогрессивностью и экономической целесообразностью с учетом требований потребителей. Инициатор должен представить экспертной организации документы, подтверждающие обоснованность целей и концепций технологии, документы с установленной областью применения технологии, свидетельства эффективности концепций, методику </w:t>
            </w:r>
            <w:r>
              <w:rPr>
                <w:rFonts w:eastAsia="Times New Roman" w:cs="Times New Roman"/>
                <w:color w:val="212529"/>
                <w:sz w:val="20"/>
                <w:szCs w:val="24"/>
                <w:lang w:eastAsia="ru-RU"/>
              </w:rPr>
              <w:lastRenderedPageBreak/>
              <w:t>выявления и контроля критических элементов технологии, техническое задание на разработку новой (модернизированной, модифицированной) продукции и конструкторской документации на нее</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Третий уровень готовности технологий "Получение макета"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разработано упрощенное воспроизведение в определенном масштабе изделия (его части), на котором исследуются отдельные характеристики изделия, а также оценивается правильность принятых технических и художественных решений (далее - макет). Под макетом в том числе может подразумеваться формула или компьютерная модель. Продемонстрированы ключевые характеристики макета. Проведены исследования и произведен отбор макетов</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разработать макет, демонстрирующий основные ключевые характеристики продукции. После обоснования эффективности разрабатываемой технологии инициатор должен получить аналитические и экспериментальные подтверждения ключевых характеристик макета. Получение информации достигается инициатором путем создания макета продукции, реализуемого только для тестовых исследований и обладающего ключевыми параметрами разрабатываемой продукции. Для дальнейшей разработки и улучшения технологии инициатор на основе полученных показателей должен: сделать вывод о работоспособности концепции; провести отбор прошедших испытания макетов с самыми высокими показателями; подтвердить выполнение действий по созданию макета, проведению тестовых исследований макета (макетов) и отбору среди них на основе анализа показателей тестовых исследований, разработке стратегии по дальнейшей работе и улучшению технологии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Четвертый уровень готовности технологий "Получение лабораторного образца"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получен лабораторный образец. Подготовлен лабораторный стенд. Проведены лабораторные исследования. Подтверждена работоспособность технологии. Проведены испытания базовых функций связи с другими элементами системы</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изготовить лабораторный образец, демонстрирующий основные характеристики продукции, и провести в лабораторных условиях их подтверждение посредством представления объективных свидетельств того, что установленные требования были выполнены. Основные характеристики продукции должны соответствовать потенциальному использованию технологии по ключевым критериям. Лабораторный образец может быть неполнофункциональным и неполномасштабным. Инициатор должен: проверить в лабораторных условиях образцы продукции; подтвердить в лабораторных условиях работоспособность технологии и их совместимость на подробных макетах; представить экспертной организации сведения о разработке лабораторного </w:t>
            </w:r>
            <w:r>
              <w:rPr>
                <w:rFonts w:eastAsia="Times New Roman" w:cs="Times New Roman"/>
                <w:color w:val="212529"/>
                <w:sz w:val="20"/>
                <w:szCs w:val="24"/>
                <w:lang w:eastAsia="ru-RU"/>
              </w:rPr>
              <w:lastRenderedPageBreak/>
              <w:t>образца и результаты проведения лабораторных исследований</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Пятый уровень готовности технологий "Получение экспериментального образца"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изготовлен и испытан экспериментальный образец (образец продукции, обладающий основными признаками намечаемой к разработке продукции, изготовляемый в целях проверки предлагаемых решений и уточнения отдельных характеристик для использования их при разработке этой продукции)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основные внешние условия. Проведено внутреннее подтверждение посредством представления объективных свидетельств того, что требования, предназначенные для конкретного использования или применения, выполнены (далее - валидация). Под валидацией в том числе может подразумеваться клиническое исследование или клиническое испытание. Интегрированы основные элементы экспериментального образца с элементами технологии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изготовить экспериментальный образец и провести его внутреннюю валидацию в условиях, приближенных к реальным. Допустимо воспроизведение условий не в полном объеме, поскольку это не окажет влияния на основные функции продукции и план валидации. Инициатор должен: осуществлять валидацию по технологии в условиях производства, которая не является частью производственного процесса; воспроизвести при испытаниях основные внешние условия, включая окружающую среду, которые предполагаются при эксплуатации продукции; интегрировать основные элементы экспериментального образца продукции с другими элементами технологии в целях повышения производительности и качества операций, а также снижения эксплуатационных затрат; представить экспертной организации сведения о разработке экспериментального образца продукции и результаты проведения внутренней валидации экспериментального образца</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Шестой уровень готовности технологий "Получение репрезентативного образца"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изготовлен репрезентативный образец (полнофункциональный репрезентативный образец продукции на пилотной производственной линии). Подтверждены рабочие характеристики в условиях, приближенных к реальности. Проведена внешняя валидация</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инициатор должен изготовить репрезентативный образец на пилотной линии производства и подтвердить его рабочие характеристики посредством проведения внешней валидации продукции инвестором, потребителем или организацией, принимающей технологии, которая осуществляет оценку уровня готовности технологии (далее - организация, принимающая технологии). Инициатор может изменить порядок подготовки образцов и вместо репрезентативного образца выполнить условия седьмого уровня готовности технологий "Получение опытного образца", при этом в последующем подготовить репрезентативный образец, выполнив условия текущего уровня готовности технологий. Инициатор должен: продемонстрировать функциональность репрезентативного образца в рамках внешней валидации и возможность интеграции технологий в производственный процесс организации, принимающей технологии; продемонстрировать работоспособность технологий для серийной разработки продукции; </w:t>
            </w:r>
            <w:r>
              <w:rPr>
                <w:rFonts w:eastAsia="Times New Roman" w:cs="Times New Roman"/>
                <w:color w:val="212529"/>
                <w:sz w:val="20"/>
                <w:szCs w:val="24"/>
                <w:lang w:eastAsia="ru-RU"/>
              </w:rPr>
              <w:lastRenderedPageBreak/>
              <w:t>представить экспертной организации сведения о разработке репрезентативного образца и результаты проведения внешней валидации</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Седьмой уровень готовности технологий "Получение опытного образца"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изготовлен опытный образец (образец продукции по вновь разработанной рабочей документации для проверки путем испытаний соответствия его заданным техническим требованиям в целях принятия решений о возможности постановки на производство и (или) использования по назначению). Проведены испытания опытного образца в реальных условиях эксплуатации. Обоснована возможность запуска производства, характеризуемого изготовлением изделий периодически повторяющимися партиями (далее - серийное производство)</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изготовить опытный образец и провести его испытания в условиях эксплуатации. Важным этапом является определение схемы дальнейших разработок продукции с учетом результатов валидации и согласования с инвесторами, потребителями и организацией, принимающей технологии. Опытный образец должен пройти демонстрацию в эксплуатационных условиях, отражать планируемый процесс производства или быть близким к нему и пройти валидацию в эксплуатационных условиях. Инициатор должен: принять решение о возможности реализации разработанной технологии и целесообразности запуска продукции в серийное производство; представить экспертной организации сведения о разработке опытного образца и результаты проведения валидации опытного образца</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Восьмой уровень готовности технологий "Получение контрольного образца"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получен контрольный образец (единица продукции, или ее часть, или проба, характеристики которых приняты за основу при изготовлении и контроле такой же продукции), проведены его испытания. Получены разрешительные документы. Окончательно подтверждена работоспособность контрольного образца, запущено опытно-промышленное производство</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инициатор должен получить контрольный образец. Контрольный образец должен отвечать реальным условиям эксплуатации продукции и требованиям, установленным к рабочим характеристикам продукции. Обязательными этапами являются: запуск промышленного производства и получение соответствующих этому этапу разрешительных документов; создание и освидетельствование процесса производства, для которого проводят испытания и демонстрации; оценка соответствия контрольного образца и технологии на работоспособность в условиях эксплуатации продукции. Инициатор должен представить экспертной организации отчеты об испытаниях контрольного образца и свидетельства получения соответствующих разрешительных документов</w:t>
            </w:r>
          </w:p>
        </w:tc>
      </w:tr>
      <w:tr w:rsidR="00C56D0E">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Девятый уровень готовности технологий "Серийное производство"</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t xml:space="preserve">продемонстрирована работа технологии. Продукция удовлетворяет всем требованиям - инженерным, производственным, эксплуатационным, а также требованиям к качеству и надежности и выпускается серийно. Проведена оценка соответствия продукции. Разработана стратегия по </w:t>
            </w:r>
            <w:r>
              <w:rPr>
                <w:rFonts w:eastAsia="Times New Roman" w:cs="Times New Roman"/>
                <w:color w:val="212529"/>
                <w:sz w:val="20"/>
                <w:szCs w:val="24"/>
                <w:lang w:eastAsia="ru-RU"/>
              </w:rPr>
              <w:lastRenderedPageBreak/>
              <w:t>улучшению производства. Правовая охрана результатов интеллектуальной деятельности обеспечена</w:t>
            </w:r>
          </w:p>
        </w:tc>
        <w:tc>
          <w:tcPr>
            <w:tcW w:w="0" w:type="auto"/>
            <w:tcBorders>
              <w:top w:val="single" w:sz="2" w:space="0" w:color="auto"/>
              <w:left w:val="single" w:sz="2" w:space="0" w:color="auto"/>
              <w:bottom w:val="single" w:sz="2" w:space="0" w:color="auto"/>
              <w:right w:val="single" w:sz="2" w:space="0" w:color="auto"/>
            </w:tcBorders>
            <w:shd w:val="clear" w:color="auto" w:fill="FFFFFF"/>
          </w:tcPr>
          <w:p w:rsidR="00C56D0E" w:rsidRDefault="009764D9">
            <w:pPr>
              <w:spacing w:after="0" w:line="240" w:lineRule="auto"/>
              <w:ind w:left="124" w:right="74" w:firstLine="0"/>
              <w:jc w:val="left"/>
              <w:rPr>
                <w:rFonts w:eastAsia="Times New Roman" w:cs="Times New Roman"/>
                <w:color w:val="212529"/>
                <w:sz w:val="20"/>
                <w:szCs w:val="24"/>
                <w:lang w:eastAsia="ru-RU"/>
              </w:rPr>
            </w:pPr>
            <w:r>
              <w:rPr>
                <w:rFonts w:eastAsia="Times New Roman" w:cs="Times New Roman"/>
                <w:color w:val="212529"/>
                <w:sz w:val="20"/>
                <w:szCs w:val="24"/>
                <w:lang w:eastAsia="ru-RU"/>
              </w:rPr>
              <w:lastRenderedPageBreak/>
              <w:t xml:space="preserve">инициатор должен продемонстрировать работу реальной разработанной технологии в условиях эксплуатации. Технология считается подготовленной, а продукция выпускается серийно. Инициатор должен: провести оценку соответствия продукции инженерным, производственным, эксплуатационным </w:t>
            </w:r>
            <w:r>
              <w:rPr>
                <w:rFonts w:eastAsia="Times New Roman" w:cs="Times New Roman"/>
                <w:color w:val="212529"/>
                <w:sz w:val="20"/>
                <w:szCs w:val="24"/>
                <w:lang w:eastAsia="ru-RU"/>
              </w:rPr>
              <w:lastRenderedPageBreak/>
              <w:t>требованиям, требованиям к качеству и надежности продукции; подтвердить соответствие технологии текущему уровню готовности технологий и требованиям потребителей; представить экспертной организации документы, подтверждающие бесперебойное серийное производство, отчеты по анализу оценки удовлетворенности продукции предъявляемым требованиям, стратегию по улучшению производства, отчет о самооценке производства, патенты на изобретения, полезные модели и промышленные образцы</w:t>
            </w:r>
          </w:p>
        </w:tc>
      </w:tr>
    </w:tbl>
    <w:p w:rsidR="00C56D0E" w:rsidRDefault="00C56D0E">
      <w:pPr>
        <w:ind w:firstLine="567"/>
        <w:rPr>
          <w:rFonts w:cs="Times New Roman"/>
          <w:szCs w:val="24"/>
        </w:rPr>
      </w:pPr>
    </w:p>
    <w:p w:rsidR="00B67525" w:rsidRDefault="00B67525">
      <w:pPr>
        <w:ind w:firstLine="567"/>
        <w:rPr>
          <w:rFonts w:cs="Times New Roman"/>
          <w:szCs w:val="24"/>
        </w:rPr>
      </w:pPr>
      <w:bookmarkStart w:id="0" w:name="_GoBack"/>
      <w:bookmarkEnd w:id="0"/>
    </w:p>
    <w:sectPr w:rsidR="00B67525" w:rsidSect="00B67525">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24" w:rsidRDefault="00E32524">
      <w:pPr>
        <w:spacing w:line="240" w:lineRule="auto"/>
      </w:pPr>
      <w:r>
        <w:separator/>
      </w:r>
    </w:p>
  </w:endnote>
  <w:endnote w:type="continuationSeparator" w:id="0">
    <w:p w:rsidR="00E32524" w:rsidRDefault="00E32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272812"/>
    </w:sdtPr>
    <w:sdtEndPr/>
    <w:sdtContent>
      <w:p w:rsidR="00C56D0E" w:rsidRDefault="009764D9">
        <w:pPr>
          <w:pStyle w:val="af4"/>
          <w:ind w:firstLine="0"/>
          <w:jc w:val="center"/>
        </w:pPr>
        <w:r>
          <w:fldChar w:fldCharType="begin"/>
        </w:r>
        <w:r>
          <w:instrText>PAGE   \* MERGEFORMAT</w:instrText>
        </w:r>
        <w:r>
          <w:fldChar w:fldCharType="separate"/>
        </w:r>
        <w:r w:rsidR="00B67525">
          <w:rPr>
            <w:noProof/>
          </w:rPr>
          <w:t>23</w:t>
        </w:r>
        <w:r>
          <w:fldChar w:fldCharType="end"/>
        </w:r>
      </w:p>
    </w:sdtContent>
  </w:sdt>
  <w:p w:rsidR="00C56D0E" w:rsidRDefault="00C56D0E">
    <w:pPr>
      <w:pStyle w:val="a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24" w:rsidRDefault="00E32524">
      <w:pPr>
        <w:spacing w:after="0"/>
      </w:pPr>
      <w:r>
        <w:separator/>
      </w:r>
    </w:p>
  </w:footnote>
  <w:footnote w:type="continuationSeparator" w:id="0">
    <w:p w:rsidR="00E32524" w:rsidRDefault="00E325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C0EDF5"/>
    <w:multiLevelType w:val="multilevel"/>
    <w:tmpl w:val="87C0EDF5"/>
    <w:lvl w:ilvl="0">
      <w:start w:val="1"/>
      <w:numFmt w:val="decimal"/>
      <w:lvlText w:val="%1."/>
      <w:lvlJc w:val="left"/>
      <w:pPr>
        <w:ind w:left="163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D8A6AB80"/>
    <w:multiLevelType w:val="multilevel"/>
    <w:tmpl w:val="D8A6AB8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5F58332"/>
    <w:multiLevelType w:val="multilevel"/>
    <w:tmpl w:val="25F583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8613AF9"/>
    <w:multiLevelType w:val="multilevel"/>
    <w:tmpl w:val="28613AF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A2851A8"/>
    <w:multiLevelType w:val="multilevel"/>
    <w:tmpl w:val="3A2851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CAE0E6B"/>
    <w:multiLevelType w:val="multilevel"/>
    <w:tmpl w:val="3CAE0E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3F84D95"/>
    <w:multiLevelType w:val="multilevel"/>
    <w:tmpl w:val="43F84D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86AA2"/>
    <w:multiLevelType w:val="multilevel"/>
    <w:tmpl w:val="4ED86AA2"/>
    <w:lvl w:ilvl="0">
      <w:start w:val="1"/>
      <w:numFmt w:val="bullet"/>
      <w:lvlText w:val=""/>
      <w:lvlJc w:val="left"/>
      <w:pPr>
        <w:ind w:left="2055" w:hanging="360"/>
      </w:pPr>
      <w:rPr>
        <w:rFonts w:ascii="Symbol" w:hAnsi="Symbol" w:hint="default"/>
      </w:rPr>
    </w:lvl>
    <w:lvl w:ilvl="1">
      <w:start w:val="1"/>
      <w:numFmt w:val="bullet"/>
      <w:lvlText w:val="o"/>
      <w:lvlJc w:val="left"/>
      <w:pPr>
        <w:ind w:left="2775" w:hanging="360"/>
      </w:pPr>
      <w:rPr>
        <w:rFonts w:ascii="Courier New" w:hAnsi="Courier New" w:cs="Courier New" w:hint="default"/>
      </w:rPr>
    </w:lvl>
    <w:lvl w:ilvl="2">
      <w:start w:val="1"/>
      <w:numFmt w:val="bullet"/>
      <w:lvlText w:val=""/>
      <w:lvlJc w:val="left"/>
      <w:pPr>
        <w:ind w:left="3495" w:hanging="360"/>
      </w:pPr>
      <w:rPr>
        <w:rFonts w:ascii="Wingdings" w:hAnsi="Wingdings" w:hint="default"/>
      </w:rPr>
    </w:lvl>
    <w:lvl w:ilvl="3">
      <w:start w:val="1"/>
      <w:numFmt w:val="bullet"/>
      <w:lvlText w:val=""/>
      <w:lvlJc w:val="left"/>
      <w:pPr>
        <w:ind w:left="4215" w:hanging="360"/>
      </w:pPr>
      <w:rPr>
        <w:rFonts w:ascii="Symbol" w:hAnsi="Symbol" w:hint="default"/>
      </w:rPr>
    </w:lvl>
    <w:lvl w:ilvl="4">
      <w:start w:val="1"/>
      <w:numFmt w:val="bullet"/>
      <w:lvlText w:val="o"/>
      <w:lvlJc w:val="left"/>
      <w:pPr>
        <w:ind w:left="4935" w:hanging="360"/>
      </w:pPr>
      <w:rPr>
        <w:rFonts w:ascii="Courier New" w:hAnsi="Courier New" w:cs="Courier New" w:hint="default"/>
      </w:rPr>
    </w:lvl>
    <w:lvl w:ilvl="5">
      <w:start w:val="1"/>
      <w:numFmt w:val="bullet"/>
      <w:lvlText w:val=""/>
      <w:lvlJc w:val="left"/>
      <w:pPr>
        <w:ind w:left="5655" w:hanging="360"/>
      </w:pPr>
      <w:rPr>
        <w:rFonts w:ascii="Wingdings" w:hAnsi="Wingdings" w:hint="default"/>
      </w:rPr>
    </w:lvl>
    <w:lvl w:ilvl="6">
      <w:start w:val="1"/>
      <w:numFmt w:val="bullet"/>
      <w:lvlText w:val=""/>
      <w:lvlJc w:val="left"/>
      <w:pPr>
        <w:ind w:left="6375" w:hanging="360"/>
      </w:pPr>
      <w:rPr>
        <w:rFonts w:ascii="Symbol" w:hAnsi="Symbol" w:hint="default"/>
      </w:rPr>
    </w:lvl>
    <w:lvl w:ilvl="7">
      <w:start w:val="1"/>
      <w:numFmt w:val="bullet"/>
      <w:lvlText w:val="o"/>
      <w:lvlJc w:val="left"/>
      <w:pPr>
        <w:ind w:left="7095" w:hanging="360"/>
      </w:pPr>
      <w:rPr>
        <w:rFonts w:ascii="Courier New" w:hAnsi="Courier New" w:cs="Courier New" w:hint="default"/>
      </w:rPr>
    </w:lvl>
    <w:lvl w:ilvl="8">
      <w:start w:val="1"/>
      <w:numFmt w:val="bullet"/>
      <w:lvlText w:val=""/>
      <w:lvlJc w:val="left"/>
      <w:pPr>
        <w:ind w:left="7815" w:hanging="360"/>
      </w:pPr>
      <w:rPr>
        <w:rFonts w:ascii="Wingdings" w:hAnsi="Wingdings" w:hint="default"/>
      </w:rPr>
    </w:lvl>
  </w:abstractNum>
  <w:abstractNum w:abstractNumId="8" w15:restartNumberingAfterBreak="0">
    <w:nsid w:val="58CE110F"/>
    <w:multiLevelType w:val="multilevel"/>
    <w:tmpl w:val="58CE110F"/>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FE2A57"/>
    <w:multiLevelType w:val="multilevel"/>
    <w:tmpl w:val="61FE2A57"/>
    <w:lvl w:ilvl="0">
      <w:start w:val="1"/>
      <w:numFmt w:val="decimal"/>
      <w:lvlText w:val="%1."/>
      <w:lvlJc w:val="left"/>
      <w:pPr>
        <w:ind w:left="720" w:hanging="360"/>
      </w:pPr>
      <w:rPr>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D83059"/>
    <w:multiLevelType w:val="multilevel"/>
    <w:tmpl w:val="63D83059"/>
    <w:lvl w:ilvl="0">
      <w:start w:val="1"/>
      <w:numFmt w:val="decimal"/>
      <w:lvlText w:val="%1."/>
      <w:lvlJc w:val="left"/>
      <w:pPr>
        <w:ind w:left="786" w:hanging="360"/>
      </w:pPr>
      <w:rPr>
        <w:rFonts w:hint="default"/>
      </w:rPr>
    </w:lvl>
    <w:lvl w:ilvl="1">
      <w:start w:val="1"/>
      <w:numFmt w:val="lowerLetter"/>
      <w:lvlText w:val="%2."/>
      <w:lvlJc w:val="left"/>
      <w:pPr>
        <w:ind w:left="1969" w:hanging="360"/>
      </w:pPr>
    </w:lvl>
    <w:lvl w:ilvl="2">
      <w:start w:val="1"/>
      <w:numFmt w:val="lowerRoman"/>
      <w:lvlText w:val="%3."/>
      <w:lvlJc w:val="right"/>
      <w:pPr>
        <w:ind w:left="2689" w:hanging="180"/>
      </w:pPr>
    </w:lvl>
    <w:lvl w:ilvl="3">
      <w:start w:val="1"/>
      <w:numFmt w:val="decimal"/>
      <w:lvlText w:val="%4."/>
      <w:lvlJc w:val="left"/>
      <w:pPr>
        <w:ind w:left="3409" w:hanging="360"/>
      </w:pPr>
    </w:lvl>
    <w:lvl w:ilvl="4">
      <w:start w:val="1"/>
      <w:numFmt w:val="lowerLetter"/>
      <w:lvlText w:val="%5."/>
      <w:lvlJc w:val="left"/>
      <w:pPr>
        <w:ind w:left="4129" w:hanging="360"/>
      </w:pPr>
    </w:lvl>
    <w:lvl w:ilvl="5">
      <w:start w:val="1"/>
      <w:numFmt w:val="lowerRoman"/>
      <w:lvlText w:val="%6."/>
      <w:lvlJc w:val="right"/>
      <w:pPr>
        <w:ind w:left="4849" w:hanging="180"/>
      </w:pPr>
    </w:lvl>
    <w:lvl w:ilvl="6">
      <w:start w:val="1"/>
      <w:numFmt w:val="decimal"/>
      <w:lvlText w:val="%7."/>
      <w:lvlJc w:val="left"/>
      <w:pPr>
        <w:ind w:left="5569" w:hanging="360"/>
      </w:pPr>
    </w:lvl>
    <w:lvl w:ilvl="7">
      <w:start w:val="1"/>
      <w:numFmt w:val="lowerLetter"/>
      <w:lvlText w:val="%8."/>
      <w:lvlJc w:val="left"/>
      <w:pPr>
        <w:ind w:left="6289" w:hanging="360"/>
      </w:pPr>
    </w:lvl>
    <w:lvl w:ilvl="8">
      <w:start w:val="1"/>
      <w:numFmt w:val="lowerRoman"/>
      <w:lvlText w:val="%9."/>
      <w:lvlJc w:val="right"/>
      <w:pPr>
        <w:ind w:left="7009" w:hanging="180"/>
      </w:pPr>
    </w:lvl>
  </w:abstractNum>
  <w:abstractNum w:abstractNumId="11" w15:restartNumberingAfterBreak="0">
    <w:nsid w:val="6D86068C"/>
    <w:multiLevelType w:val="multilevel"/>
    <w:tmpl w:val="6D860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B93148"/>
    <w:multiLevelType w:val="multilevel"/>
    <w:tmpl w:val="74B93148"/>
    <w:lvl w:ilvl="0">
      <w:start w:val="1"/>
      <w:numFmt w:val="decimal"/>
      <w:lvlText w:val="%1."/>
      <w:lvlJc w:val="left"/>
      <w:pPr>
        <w:ind w:left="785" w:hanging="360"/>
      </w:pPr>
      <w:rPr>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7EE33075"/>
    <w:multiLevelType w:val="multilevel"/>
    <w:tmpl w:val="7EE33075"/>
    <w:lvl w:ilvl="0">
      <w:start w:val="1"/>
      <w:numFmt w:val="bullet"/>
      <w:lvlText w:val=""/>
      <w:lvlJc w:val="left"/>
      <w:pPr>
        <w:ind w:left="1576" w:hanging="360"/>
      </w:pPr>
      <w:rPr>
        <w:rFonts w:ascii="Symbol" w:hAnsi="Symbol" w:hint="default"/>
      </w:rPr>
    </w:lvl>
    <w:lvl w:ilvl="1">
      <w:start w:val="1"/>
      <w:numFmt w:val="bullet"/>
      <w:lvlText w:val="o"/>
      <w:lvlJc w:val="left"/>
      <w:pPr>
        <w:ind w:left="2296" w:hanging="360"/>
      </w:pPr>
      <w:rPr>
        <w:rFonts w:ascii="Courier New" w:hAnsi="Courier New" w:cs="Courier New" w:hint="default"/>
      </w:rPr>
    </w:lvl>
    <w:lvl w:ilvl="2">
      <w:start w:val="1"/>
      <w:numFmt w:val="bullet"/>
      <w:lvlText w:val=""/>
      <w:lvlJc w:val="left"/>
      <w:pPr>
        <w:ind w:left="3016" w:hanging="360"/>
      </w:pPr>
      <w:rPr>
        <w:rFonts w:ascii="Wingdings" w:hAnsi="Wingdings" w:hint="default"/>
      </w:rPr>
    </w:lvl>
    <w:lvl w:ilvl="3">
      <w:start w:val="1"/>
      <w:numFmt w:val="bullet"/>
      <w:lvlText w:val=""/>
      <w:lvlJc w:val="left"/>
      <w:pPr>
        <w:ind w:left="3736" w:hanging="360"/>
      </w:pPr>
      <w:rPr>
        <w:rFonts w:ascii="Symbol" w:hAnsi="Symbol" w:hint="default"/>
      </w:rPr>
    </w:lvl>
    <w:lvl w:ilvl="4">
      <w:start w:val="1"/>
      <w:numFmt w:val="bullet"/>
      <w:lvlText w:val="o"/>
      <w:lvlJc w:val="left"/>
      <w:pPr>
        <w:ind w:left="4456" w:hanging="360"/>
      </w:pPr>
      <w:rPr>
        <w:rFonts w:ascii="Courier New" w:hAnsi="Courier New" w:cs="Courier New" w:hint="default"/>
      </w:rPr>
    </w:lvl>
    <w:lvl w:ilvl="5">
      <w:start w:val="1"/>
      <w:numFmt w:val="bullet"/>
      <w:lvlText w:val=""/>
      <w:lvlJc w:val="left"/>
      <w:pPr>
        <w:ind w:left="5176" w:hanging="360"/>
      </w:pPr>
      <w:rPr>
        <w:rFonts w:ascii="Wingdings" w:hAnsi="Wingdings" w:hint="default"/>
      </w:rPr>
    </w:lvl>
    <w:lvl w:ilvl="6">
      <w:start w:val="1"/>
      <w:numFmt w:val="bullet"/>
      <w:lvlText w:val=""/>
      <w:lvlJc w:val="left"/>
      <w:pPr>
        <w:ind w:left="5896" w:hanging="360"/>
      </w:pPr>
      <w:rPr>
        <w:rFonts w:ascii="Symbol" w:hAnsi="Symbol" w:hint="default"/>
      </w:rPr>
    </w:lvl>
    <w:lvl w:ilvl="7">
      <w:start w:val="1"/>
      <w:numFmt w:val="bullet"/>
      <w:lvlText w:val="o"/>
      <w:lvlJc w:val="left"/>
      <w:pPr>
        <w:ind w:left="6616" w:hanging="360"/>
      </w:pPr>
      <w:rPr>
        <w:rFonts w:ascii="Courier New" w:hAnsi="Courier New" w:cs="Courier New" w:hint="default"/>
      </w:rPr>
    </w:lvl>
    <w:lvl w:ilvl="8">
      <w:start w:val="1"/>
      <w:numFmt w:val="bullet"/>
      <w:lvlText w:val=""/>
      <w:lvlJc w:val="left"/>
      <w:pPr>
        <w:ind w:left="7336" w:hanging="360"/>
      </w:pPr>
      <w:rPr>
        <w:rFonts w:ascii="Wingdings" w:hAnsi="Wingdings" w:hint="default"/>
      </w:rPr>
    </w:lvl>
  </w:abstractNum>
  <w:num w:numId="1">
    <w:abstractNumId w:val="10"/>
  </w:num>
  <w:num w:numId="2">
    <w:abstractNumId w:val="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3"/>
  </w:num>
  <w:num w:numId="8">
    <w:abstractNumId w:val="1"/>
  </w:num>
  <w:num w:numId="9">
    <w:abstractNumId w:val="12"/>
  </w:num>
  <w:num w:numId="10">
    <w:abstractNumId w:val="5"/>
  </w:num>
  <w:num w:numId="11">
    <w:abstractNumId w:val="4"/>
  </w:num>
  <w:num w:numId="12">
    <w:abstractNumId w:val="2"/>
  </w:num>
  <w:num w:numId="13">
    <w:abstractNumId w:val="6"/>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D5"/>
    <w:rsid w:val="00000D5D"/>
    <w:rsid w:val="00002BDD"/>
    <w:rsid w:val="0001163D"/>
    <w:rsid w:val="00017A2C"/>
    <w:rsid w:val="0002076F"/>
    <w:rsid w:val="00020D02"/>
    <w:rsid w:val="00023DC7"/>
    <w:rsid w:val="00025FA9"/>
    <w:rsid w:val="000267D4"/>
    <w:rsid w:val="000334F1"/>
    <w:rsid w:val="00033F97"/>
    <w:rsid w:val="00051B50"/>
    <w:rsid w:val="000537E9"/>
    <w:rsid w:val="00055BFD"/>
    <w:rsid w:val="00070428"/>
    <w:rsid w:val="00074EEE"/>
    <w:rsid w:val="00076790"/>
    <w:rsid w:val="000938F6"/>
    <w:rsid w:val="000A71AB"/>
    <w:rsid w:val="000B0478"/>
    <w:rsid w:val="000B1409"/>
    <w:rsid w:val="000B4E80"/>
    <w:rsid w:val="000B5171"/>
    <w:rsid w:val="000C3668"/>
    <w:rsid w:val="000E0D3A"/>
    <w:rsid w:val="000E357F"/>
    <w:rsid w:val="000E60E6"/>
    <w:rsid w:val="000F1B5B"/>
    <w:rsid w:val="000F7407"/>
    <w:rsid w:val="001068AF"/>
    <w:rsid w:val="0011042F"/>
    <w:rsid w:val="00125D77"/>
    <w:rsid w:val="00125F41"/>
    <w:rsid w:val="001275E0"/>
    <w:rsid w:val="00137C48"/>
    <w:rsid w:val="00157851"/>
    <w:rsid w:val="00157B84"/>
    <w:rsid w:val="00162C12"/>
    <w:rsid w:val="0016450B"/>
    <w:rsid w:val="001714A0"/>
    <w:rsid w:val="001752F1"/>
    <w:rsid w:val="001754C3"/>
    <w:rsid w:val="0017790C"/>
    <w:rsid w:val="00181C9E"/>
    <w:rsid w:val="0019048E"/>
    <w:rsid w:val="001B074A"/>
    <w:rsid w:val="001B2B14"/>
    <w:rsid w:val="001B7030"/>
    <w:rsid w:val="001B7D49"/>
    <w:rsid w:val="001C49C1"/>
    <w:rsid w:val="001D24E5"/>
    <w:rsid w:val="001E3744"/>
    <w:rsid w:val="001F3123"/>
    <w:rsid w:val="001F39A0"/>
    <w:rsid w:val="001F403E"/>
    <w:rsid w:val="001F494C"/>
    <w:rsid w:val="001F6E40"/>
    <w:rsid w:val="00201192"/>
    <w:rsid w:val="00223A68"/>
    <w:rsid w:val="002241E5"/>
    <w:rsid w:val="00226782"/>
    <w:rsid w:val="002310BA"/>
    <w:rsid w:val="00234D2D"/>
    <w:rsid w:val="002476C1"/>
    <w:rsid w:val="00250A7B"/>
    <w:rsid w:val="00272F59"/>
    <w:rsid w:val="0027748A"/>
    <w:rsid w:val="00277926"/>
    <w:rsid w:val="002824F5"/>
    <w:rsid w:val="00283F2A"/>
    <w:rsid w:val="0028476C"/>
    <w:rsid w:val="00285B4A"/>
    <w:rsid w:val="00297AFB"/>
    <w:rsid w:val="002A527B"/>
    <w:rsid w:val="002B1544"/>
    <w:rsid w:val="002B30D4"/>
    <w:rsid w:val="002B4EF4"/>
    <w:rsid w:val="002B7616"/>
    <w:rsid w:val="002C2C57"/>
    <w:rsid w:val="002C6130"/>
    <w:rsid w:val="002D21E6"/>
    <w:rsid w:val="002D3819"/>
    <w:rsid w:val="002D48BA"/>
    <w:rsid w:val="002D5F90"/>
    <w:rsid w:val="002F29A7"/>
    <w:rsid w:val="002F5637"/>
    <w:rsid w:val="00300094"/>
    <w:rsid w:val="00301DF4"/>
    <w:rsid w:val="00310092"/>
    <w:rsid w:val="00311802"/>
    <w:rsid w:val="003265EF"/>
    <w:rsid w:val="00326BE6"/>
    <w:rsid w:val="0033087A"/>
    <w:rsid w:val="00332B30"/>
    <w:rsid w:val="003436E3"/>
    <w:rsid w:val="0036115E"/>
    <w:rsid w:val="00362915"/>
    <w:rsid w:val="003662FA"/>
    <w:rsid w:val="00367D00"/>
    <w:rsid w:val="00372CD2"/>
    <w:rsid w:val="00385726"/>
    <w:rsid w:val="00387B51"/>
    <w:rsid w:val="003905CD"/>
    <w:rsid w:val="0039131A"/>
    <w:rsid w:val="003A33F1"/>
    <w:rsid w:val="003A3790"/>
    <w:rsid w:val="003A5E14"/>
    <w:rsid w:val="003B1495"/>
    <w:rsid w:val="003B5968"/>
    <w:rsid w:val="003B66CB"/>
    <w:rsid w:val="003C0F91"/>
    <w:rsid w:val="003E679E"/>
    <w:rsid w:val="003E6B0C"/>
    <w:rsid w:val="003F0BF5"/>
    <w:rsid w:val="003F1E71"/>
    <w:rsid w:val="003F5E7B"/>
    <w:rsid w:val="00406109"/>
    <w:rsid w:val="00406C28"/>
    <w:rsid w:val="00407873"/>
    <w:rsid w:val="00411656"/>
    <w:rsid w:val="00411C9C"/>
    <w:rsid w:val="00413D40"/>
    <w:rsid w:val="00440271"/>
    <w:rsid w:val="004403E2"/>
    <w:rsid w:val="00441ED9"/>
    <w:rsid w:val="00446104"/>
    <w:rsid w:val="00454679"/>
    <w:rsid w:val="00461A64"/>
    <w:rsid w:val="0046395E"/>
    <w:rsid w:val="0046731E"/>
    <w:rsid w:val="00472A28"/>
    <w:rsid w:val="0048473D"/>
    <w:rsid w:val="00485949"/>
    <w:rsid w:val="00487A57"/>
    <w:rsid w:val="004909B8"/>
    <w:rsid w:val="004911FE"/>
    <w:rsid w:val="004A1FAF"/>
    <w:rsid w:val="004B428B"/>
    <w:rsid w:val="004B4A15"/>
    <w:rsid w:val="004B53F2"/>
    <w:rsid w:val="004C1C00"/>
    <w:rsid w:val="004C3F13"/>
    <w:rsid w:val="004C55E9"/>
    <w:rsid w:val="004D05FA"/>
    <w:rsid w:val="004E3BD7"/>
    <w:rsid w:val="004F41C1"/>
    <w:rsid w:val="004F4E7D"/>
    <w:rsid w:val="004F53F4"/>
    <w:rsid w:val="004F5CAA"/>
    <w:rsid w:val="004F69FB"/>
    <w:rsid w:val="00503C71"/>
    <w:rsid w:val="005137BF"/>
    <w:rsid w:val="00515395"/>
    <w:rsid w:val="00533A3B"/>
    <w:rsid w:val="005414DF"/>
    <w:rsid w:val="00544AD5"/>
    <w:rsid w:val="00547B11"/>
    <w:rsid w:val="005517F6"/>
    <w:rsid w:val="005571B3"/>
    <w:rsid w:val="00557B41"/>
    <w:rsid w:val="0057560C"/>
    <w:rsid w:val="00576FB0"/>
    <w:rsid w:val="00576FEC"/>
    <w:rsid w:val="00577A71"/>
    <w:rsid w:val="00581E8D"/>
    <w:rsid w:val="00594694"/>
    <w:rsid w:val="005A17A7"/>
    <w:rsid w:val="005A4125"/>
    <w:rsid w:val="005B5478"/>
    <w:rsid w:val="005C64C2"/>
    <w:rsid w:val="005D19D9"/>
    <w:rsid w:val="005D55DB"/>
    <w:rsid w:val="005E04A4"/>
    <w:rsid w:val="005E36B4"/>
    <w:rsid w:val="005F0B63"/>
    <w:rsid w:val="005F5D39"/>
    <w:rsid w:val="005F7D94"/>
    <w:rsid w:val="006011D6"/>
    <w:rsid w:val="00602CAA"/>
    <w:rsid w:val="0060733D"/>
    <w:rsid w:val="00615899"/>
    <w:rsid w:val="006252D9"/>
    <w:rsid w:val="006333CC"/>
    <w:rsid w:val="00650DE2"/>
    <w:rsid w:val="00654FD7"/>
    <w:rsid w:val="006565BA"/>
    <w:rsid w:val="00657820"/>
    <w:rsid w:val="00663057"/>
    <w:rsid w:val="006704FD"/>
    <w:rsid w:val="00676031"/>
    <w:rsid w:val="00677493"/>
    <w:rsid w:val="006801F4"/>
    <w:rsid w:val="00681F34"/>
    <w:rsid w:val="00685D57"/>
    <w:rsid w:val="006A301D"/>
    <w:rsid w:val="006A5709"/>
    <w:rsid w:val="006B09C1"/>
    <w:rsid w:val="006B6C1C"/>
    <w:rsid w:val="006C4CB3"/>
    <w:rsid w:val="006E37E7"/>
    <w:rsid w:val="006E5058"/>
    <w:rsid w:val="006F40F3"/>
    <w:rsid w:val="007011C4"/>
    <w:rsid w:val="00702CE2"/>
    <w:rsid w:val="00713E7D"/>
    <w:rsid w:val="007252D4"/>
    <w:rsid w:val="00727C8C"/>
    <w:rsid w:val="0073123A"/>
    <w:rsid w:val="00733429"/>
    <w:rsid w:val="00736F1F"/>
    <w:rsid w:val="00742342"/>
    <w:rsid w:val="00755428"/>
    <w:rsid w:val="00756B12"/>
    <w:rsid w:val="007579B4"/>
    <w:rsid w:val="0077291D"/>
    <w:rsid w:val="00772C11"/>
    <w:rsid w:val="00775DC2"/>
    <w:rsid w:val="00781C54"/>
    <w:rsid w:val="00786EBB"/>
    <w:rsid w:val="00790201"/>
    <w:rsid w:val="007951FA"/>
    <w:rsid w:val="007A0ADE"/>
    <w:rsid w:val="007A1C58"/>
    <w:rsid w:val="007A2063"/>
    <w:rsid w:val="007A6A60"/>
    <w:rsid w:val="007A70DC"/>
    <w:rsid w:val="007B7BE2"/>
    <w:rsid w:val="007C1863"/>
    <w:rsid w:val="007C1A6A"/>
    <w:rsid w:val="007C2F61"/>
    <w:rsid w:val="007C3C0C"/>
    <w:rsid w:val="007C4F2D"/>
    <w:rsid w:val="007C6867"/>
    <w:rsid w:val="007D0C58"/>
    <w:rsid w:val="007D1F82"/>
    <w:rsid w:val="007D2CD8"/>
    <w:rsid w:val="007D5090"/>
    <w:rsid w:val="007D5B8D"/>
    <w:rsid w:val="007E1DD8"/>
    <w:rsid w:val="007E60E0"/>
    <w:rsid w:val="008002B1"/>
    <w:rsid w:val="00815EBC"/>
    <w:rsid w:val="008241A5"/>
    <w:rsid w:val="008272C0"/>
    <w:rsid w:val="008450ED"/>
    <w:rsid w:val="00846A1A"/>
    <w:rsid w:val="0085625B"/>
    <w:rsid w:val="00857645"/>
    <w:rsid w:val="00872E53"/>
    <w:rsid w:val="00874FF1"/>
    <w:rsid w:val="00877091"/>
    <w:rsid w:val="00887D3B"/>
    <w:rsid w:val="00891919"/>
    <w:rsid w:val="008A00B5"/>
    <w:rsid w:val="008A2D11"/>
    <w:rsid w:val="008A2DF0"/>
    <w:rsid w:val="008A3ED9"/>
    <w:rsid w:val="008B05BF"/>
    <w:rsid w:val="008C14C7"/>
    <w:rsid w:val="008D37EC"/>
    <w:rsid w:val="008E6EFA"/>
    <w:rsid w:val="008F2995"/>
    <w:rsid w:val="009026E8"/>
    <w:rsid w:val="00905FDD"/>
    <w:rsid w:val="0092705C"/>
    <w:rsid w:val="00937B51"/>
    <w:rsid w:val="00941E17"/>
    <w:rsid w:val="00945489"/>
    <w:rsid w:val="00953071"/>
    <w:rsid w:val="00960CAD"/>
    <w:rsid w:val="00961E15"/>
    <w:rsid w:val="009656B6"/>
    <w:rsid w:val="00965D61"/>
    <w:rsid w:val="00975F5B"/>
    <w:rsid w:val="009764D9"/>
    <w:rsid w:val="00976FA3"/>
    <w:rsid w:val="009813E6"/>
    <w:rsid w:val="00997577"/>
    <w:rsid w:val="009A43BC"/>
    <w:rsid w:val="009A69BD"/>
    <w:rsid w:val="009B0814"/>
    <w:rsid w:val="009B1399"/>
    <w:rsid w:val="009C4BC8"/>
    <w:rsid w:val="009D2557"/>
    <w:rsid w:val="009D70DF"/>
    <w:rsid w:val="009F43BA"/>
    <w:rsid w:val="00A00275"/>
    <w:rsid w:val="00A05620"/>
    <w:rsid w:val="00A1482F"/>
    <w:rsid w:val="00A424D1"/>
    <w:rsid w:val="00A43CE1"/>
    <w:rsid w:val="00A44686"/>
    <w:rsid w:val="00A47911"/>
    <w:rsid w:val="00A576A7"/>
    <w:rsid w:val="00A64C0E"/>
    <w:rsid w:val="00A71AA0"/>
    <w:rsid w:val="00A81C6B"/>
    <w:rsid w:val="00A86BE6"/>
    <w:rsid w:val="00A87CA1"/>
    <w:rsid w:val="00A91D92"/>
    <w:rsid w:val="00A92A4C"/>
    <w:rsid w:val="00AA1C3E"/>
    <w:rsid w:val="00AA7569"/>
    <w:rsid w:val="00AB5CA5"/>
    <w:rsid w:val="00AC6562"/>
    <w:rsid w:val="00AD03AF"/>
    <w:rsid w:val="00AD057C"/>
    <w:rsid w:val="00AD5DDB"/>
    <w:rsid w:val="00AD67F0"/>
    <w:rsid w:val="00AE198F"/>
    <w:rsid w:val="00AE3787"/>
    <w:rsid w:val="00B10A90"/>
    <w:rsid w:val="00B15E34"/>
    <w:rsid w:val="00B236E5"/>
    <w:rsid w:val="00B278BC"/>
    <w:rsid w:val="00B370FB"/>
    <w:rsid w:val="00B373C4"/>
    <w:rsid w:val="00B428FC"/>
    <w:rsid w:val="00B46E77"/>
    <w:rsid w:val="00B547CE"/>
    <w:rsid w:val="00B57B47"/>
    <w:rsid w:val="00B67525"/>
    <w:rsid w:val="00B731F0"/>
    <w:rsid w:val="00B7349B"/>
    <w:rsid w:val="00B76B05"/>
    <w:rsid w:val="00B829C0"/>
    <w:rsid w:val="00B842CF"/>
    <w:rsid w:val="00B845C1"/>
    <w:rsid w:val="00B930F8"/>
    <w:rsid w:val="00BA216F"/>
    <w:rsid w:val="00BA6DEF"/>
    <w:rsid w:val="00BA7EA1"/>
    <w:rsid w:val="00BC0374"/>
    <w:rsid w:val="00BC4F14"/>
    <w:rsid w:val="00BD388B"/>
    <w:rsid w:val="00BE6D6D"/>
    <w:rsid w:val="00BF472A"/>
    <w:rsid w:val="00C00A91"/>
    <w:rsid w:val="00C01FEB"/>
    <w:rsid w:val="00C02E83"/>
    <w:rsid w:val="00C0543F"/>
    <w:rsid w:val="00C06D5B"/>
    <w:rsid w:val="00C22C56"/>
    <w:rsid w:val="00C24F7E"/>
    <w:rsid w:val="00C33A2E"/>
    <w:rsid w:val="00C33BC5"/>
    <w:rsid w:val="00C361E4"/>
    <w:rsid w:val="00C368C8"/>
    <w:rsid w:val="00C444D6"/>
    <w:rsid w:val="00C47838"/>
    <w:rsid w:val="00C50218"/>
    <w:rsid w:val="00C52B61"/>
    <w:rsid w:val="00C55C41"/>
    <w:rsid w:val="00C56D0E"/>
    <w:rsid w:val="00C6280D"/>
    <w:rsid w:val="00C64C53"/>
    <w:rsid w:val="00C67713"/>
    <w:rsid w:val="00C721DE"/>
    <w:rsid w:val="00C7475B"/>
    <w:rsid w:val="00C76668"/>
    <w:rsid w:val="00C84DEE"/>
    <w:rsid w:val="00CA0390"/>
    <w:rsid w:val="00CA095E"/>
    <w:rsid w:val="00CA1463"/>
    <w:rsid w:val="00CB69D5"/>
    <w:rsid w:val="00CC3972"/>
    <w:rsid w:val="00CD27E0"/>
    <w:rsid w:val="00CD5FDE"/>
    <w:rsid w:val="00CD693B"/>
    <w:rsid w:val="00CD7F9B"/>
    <w:rsid w:val="00CF328F"/>
    <w:rsid w:val="00D02A8F"/>
    <w:rsid w:val="00D042BE"/>
    <w:rsid w:val="00D04743"/>
    <w:rsid w:val="00D063D3"/>
    <w:rsid w:val="00D12873"/>
    <w:rsid w:val="00D1327C"/>
    <w:rsid w:val="00D1415F"/>
    <w:rsid w:val="00D343DD"/>
    <w:rsid w:val="00D34A50"/>
    <w:rsid w:val="00D35E8C"/>
    <w:rsid w:val="00D446D5"/>
    <w:rsid w:val="00D527B0"/>
    <w:rsid w:val="00D61082"/>
    <w:rsid w:val="00D72B45"/>
    <w:rsid w:val="00D81030"/>
    <w:rsid w:val="00D84D76"/>
    <w:rsid w:val="00D90CFB"/>
    <w:rsid w:val="00D932DF"/>
    <w:rsid w:val="00D93A96"/>
    <w:rsid w:val="00D95783"/>
    <w:rsid w:val="00DA18B5"/>
    <w:rsid w:val="00DB1AA4"/>
    <w:rsid w:val="00DB1F69"/>
    <w:rsid w:val="00DB4D38"/>
    <w:rsid w:val="00DB55A3"/>
    <w:rsid w:val="00DB5623"/>
    <w:rsid w:val="00DB63B6"/>
    <w:rsid w:val="00DB7143"/>
    <w:rsid w:val="00DB78A9"/>
    <w:rsid w:val="00DC3439"/>
    <w:rsid w:val="00DC46AB"/>
    <w:rsid w:val="00DD2AA7"/>
    <w:rsid w:val="00DE4E14"/>
    <w:rsid w:val="00DE5CFF"/>
    <w:rsid w:val="00DE6950"/>
    <w:rsid w:val="00DE6DF4"/>
    <w:rsid w:val="00DF6629"/>
    <w:rsid w:val="00E014B9"/>
    <w:rsid w:val="00E03270"/>
    <w:rsid w:val="00E151A6"/>
    <w:rsid w:val="00E27429"/>
    <w:rsid w:val="00E3088D"/>
    <w:rsid w:val="00E3222E"/>
    <w:rsid w:val="00E32524"/>
    <w:rsid w:val="00E43DDF"/>
    <w:rsid w:val="00E47744"/>
    <w:rsid w:val="00E50D0C"/>
    <w:rsid w:val="00E517C7"/>
    <w:rsid w:val="00E57F77"/>
    <w:rsid w:val="00E621A5"/>
    <w:rsid w:val="00E6521D"/>
    <w:rsid w:val="00E67B4F"/>
    <w:rsid w:val="00E67C2B"/>
    <w:rsid w:val="00E828B4"/>
    <w:rsid w:val="00E97771"/>
    <w:rsid w:val="00EA284E"/>
    <w:rsid w:val="00EA3F94"/>
    <w:rsid w:val="00EA4622"/>
    <w:rsid w:val="00EA6671"/>
    <w:rsid w:val="00EB4501"/>
    <w:rsid w:val="00EB66D2"/>
    <w:rsid w:val="00EB6DD6"/>
    <w:rsid w:val="00EB747D"/>
    <w:rsid w:val="00EC0AD8"/>
    <w:rsid w:val="00EC1A33"/>
    <w:rsid w:val="00EC3E1A"/>
    <w:rsid w:val="00EC5409"/>
    <w:rsid w:val="00EC7DC5"/>
    <w:rsid w:val="00ED1619"/>
    <w:rsid w:val="00EE341B"/>
    <w:rsid w:val="00EF5CCD"/>
    <w:rsid w:val="00EF7986"/>
    <w:rsid w:val="00F000BA"/>
    <w:rsid w:val="00F008AD"/>
    <w:rsid w:val="00F10F9B"/>
    <w:rsid w:val="00F12D7C"/>
    <w:rsid w:val="00F17629"/>
    <w:rsid w:val="00F26DCC"/>
    <w:rsid w:val="00F3055C"/>
    <w:rsid w:val="00F4091C"/>
    <w:rsid w:val="00F417E9"/>
    <w:rsid w:val="00F42437"/>
    <w:rsid w:val="00F50F26"/>
    <w:rsid w:val="00F51DD1"/>
    <w:rsid w:val="00F520EF"/>
    <w:rsid w:val="00F52695"/>
    <w:rsid w:val="00F662D6"/>
    <w:rsid w:val="00F7004B"/>
    <w:rsid w:val="00F743FA"/>
    <w:rsid w:val="00F779E2"/>
    <w:rsid w:val="00F80723"/>
    <w:rsid w:val="00FA0D31"/>
    <w:rsid w:val="00FA5A55"/>
    <w:rsid w:val="00FA5DB9"/>
    <w:rsid w:val="00FB048E"/>
    <w:rsid w:val="00FC6867"/>
    <w:rsid w:val="00FD7B6D"/>
    <w:rsid w:val="00FE0315"/>
    <w:rsid w:val="00FE3614"/>
    <w:rsid w:val="00FF1D2E"/>
    <w:rsid w:val="00FF2ED9"/>
    <w:rsid w:val="00FF4D08"/>
    <w:rsid w:val="00FF6C63"/>
    <w:rsid w:val="0345790B"/>
    <w:rsid w:val="070C6879"/>
    <w:rsid w:val="0B6F2801"/>
    <w:rsid w:val="151D2EB9"/>
    <w:rsid w:val="1654603D"/>
    <w:rsid w:val="1825673F"/>
    <w:rsid w:val="1937411D"/>
    <w:rsid w:val="1A1911FD"/>
    <w:rsid w:val="1A844922"/>
    <w:rsid w:val="243E797C"/>
    <w:rsid w:val="24D16A84"/>
    <w:rsid w:val="25367CEC"/>
    <w:rsid w:val="26B76144"/>
    <w:rsid w:val="28474C0C"/>
    <w:rsid w:val="2A22108F"/>
    <w:rsid w:val="2B106BA3"/>
    <w:rsid w:val="2C5A428A"/>
    <w:rsid w:val="2DC9744D"/>
    <w:rsid w:val="2EAC21FB"/>
    <w:rsid w:val="30B46745"/>
    <w:rsid w:val="363E1B5A"/>
    <w:rsid w:val="367E725B"/>
    <w:rsid w:val="36E63299"/>
    <w:rsid w:val="38EA0422"/>
    <w:rsid w:val="3B9F54F4"/>
    <w:rsid w:val="43B82CAE"/>
    <w:rsid w:val="4CB2278A"/>
    <w:rsid w:val="4E225253"/>
    <w:rsid w:val="51BE00C6"/>
    <w:rsid w:val="522C7345"/>
    <w:rsid w:val="52C97C6A"/>
    <w:rsid w:val="579D7AB2"/>
    <w:rsid w:val="630E7D8F"/>
    <w:rsid w:val="652D0FEB"/>
    <w:rsid w:val="66894B09"/>
    <w:rsid w:val="6ECA4F74"/>
    <w:rsid w:val="6F30266D"/>
    <w:rsid w:val="70293475"/>
    <w:rsid w:val="742B3F73"/>
    <w:rsid w:val="74320024"/>
    <w:rsid w:val="793550A6"/>
    <w:rsid w:val="7DC07A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72D2C65-2BC4-4154-9596-50F8ABC0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ind w:firstLine="709"/>
      <w:jc w:val="both"/>
    </w:pPr>
    <w:rPr>
      <w:rFonts w:eastAsiaTheme="minorHAnsi" w:cstheme="minorBidi"/>
      <w:sz w:val="24"/>
      <w:szCs w:val="22"/>
      <w:lang w:eastAsia="en-US"/>
    </w:rPr>
  </w:style>
  <w:style w:type="paragraph" w:styleId="1">
    <w:name w:val="heading 1"/>
    <w:basedOn w:val="a"/>
    <w:next w:val="a"/>
    <w:link w:val="10"/>
    <w:uiPriority w:val="9"/>
    <w:qFormat/>
    <w:pPr>
      <w:keepNext/>
      <w:keepLines/>
      <w:spacing w:after="240"/>
      <w:ind w:firstLine="0"/>
      <w:jc w:val="center"/>
      <w:outlineLvl w:val="0"/>
    </w:pPr>
    <w:rPr>
      <w:rFonts w:eastAsiaTheme="majorEastAsia" w:cstheme="majorBidi"/>
      <w:sz w:val="32"/>
      <w:szCs w:val="32"/>
    </w:rPr>
  </w:style>
  <w:style w:type="paragraph" w:styleId="2">
    <w:name w:val="heading 2"/>
    <w:basedOn w:val="a"/>
    <w:next w:val="a"/>
    <w:link w:val="20"/>
    <w:uiPriority w:val="9"/>
    <w:unhideWhenUsed/>
    <w:qFormat/>
    <w:pPr>
      <w:keepNext/>
      <w:keepLines/>
      <w:spacing w:before="120" w:after="120"/>
      <w:ind w:firstLine="0"/>
      <w:outlineLvl w:val="1"/>
    </w:pPr>
    <w:rPr>
      <w:rFonts w:eastAsiaTheme="majorEastAsia" w:cstheme="majorBidi"/>
      <w:b/>
      <w:sz w:val="26"/>
      <w:szCs w:val="26"/>
    </w:rPr>
  </w:style>
  <w:style w:type="paragraph" w:styleId="3">
    <w:name w:val="heading 3"/>
    <w:basedOn w:val="a"/>
    <w:next w:val="a"/>
    <w:link w:val="30"/>
    <w:uiPriority w:val="9"/>
    <w:semiHidden/>
    <w:unhideWhenUsed/>
    <w:qFormat/>
    <w:pPr>
      <w:keepNext/>
      <w:keepLines/>
      <w:spacing w:before="40" w:after="0"/>
      <w:outlineLvl w:val="2"/>
    </w:pPr>
    <w:rPr>
      <w:rFonts w:eastAsiaTheme="majorEastAsia" w:cstheme="majorBidi"/>
      <w:b/>
      <w:szCs w:val="24"/>
    </w:rPr>
  </w:style>
  <w:style w:type="paragraph" w:styleId="4">
    <w:name w:val="heading 4"/>
    <w:basedOn w:val="a"/>
    <w:next w:val="a"/>
    <w:link w:val="40"/>
    <w:uiPriority w:val="9"/>
    <w:semiHidden/>
    <w:unhideWhenUsed/>
    <w:qFormat/>
    <w:pPr>
      <w:keepNext/>
      <w:keepLines/>
      <w:spacing w:before="40" w:after="0"/>
      <w:outlineLvl w:val="3"/>
    </w:pPr>
    <w:rPr>
      <w:rFonts w:eastAsiaTheme="majorEastAsia"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jc w:val="left"/>
    </w:pPr>
  </w:style>
  <w:style w:type="paragraph" w:styleId="aa">
    <w:name w:val="annotation subject"/>
    <w:basedOn w:val="a8"/>
    <w:next w:val="a8"/>
    <w:link w:val="ab"/>
    <w:uiPriority w:val="99"/>
    <w:semiHidden/>
    <w:unhideWhenUsed/>
    <w:qFormat/>
    <w:pPr>
      <w:spacing w:line="240" w:lineRule="auto"/>
      <w:jc w:val="both"/>
    </w:pPr>
    <w:rPr>
      <w:b/>
      <w:bCs/>
      <w:sz w:val="20"/>
      <w:szCs w:val="20"/>
    </w:rPr>
  </w:style>
  <w:style w:type="paragraph" w:styleId="ac">
    <w:name w:val="footnote text"/>
    <w:basedOn w:val="a"/>
    <w:link w:val="ad"/>
    <w:uiPriority w:val="99"/>
    <w:semiHidden/>
    <w:unhideWhenUsed/>
    <w:qFormat/>
    <w:pPr>
      <w:spacing w:after="0" w:line="240" w:lineRule="auto"/>
      <w:ind w:firstLine="0"/>
      <w:jc w:val="left"/>
    </w:pPr>
    <w:rPr>
      <w:rFonts w:eastAsia="Times New Roman" w:cs="Times New Roman"/>
      <w:sz w:val="20"/>
      <w:szCs w:val="20"/>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af0">
    <w:name w:val="Body Text"/>
    <w:basedOn w:val="a"/>
    <w:link w:val="af1"/>
    <w:qFormat/>
    <w:pPr>
      <w:spacing w:after="0" w:line="240" w:lineRule="auto"/>
      <w:ind w:firstLine="0"/>
      <w:jc w:val="center"/>
    </w:pPr>
    <w:rPr>
      <w:rFonts w:eastAsia="Times New Roman" w:cs="Times New Roman"/>
      <w:szCs w:val="24"/>
    </w:rPr>
  </w:style>
  <w:style w:type="paragraph" w:styleId="af2">
    <w:name w:val="Title"/>
    <w:basedOn w:val="a"/>
    <w:next w:val="a"/>
    <w:link w:val="af3"/>
    <w:uiPriority w:val="10"/>
    <w:qFormat/>
    <w:pPr>
      <w:spacing w:after="0" w:line="240" w:lineRule="auto"/>
      <w:ind w:firstLine="0"/>
      <w:contextualSpacing/>
      <w:jc w:val="center"/>
    </w:pPr>
    <w:rPr>
      <w:rFonts w:eastAsiaTheme="majorEastAsia" w:cstheme="majorBidi"/>
      <w:b/>
      <w:caps/>
      <w:spacing w:val="100"/>
      <w:kern w:val="28"/>
      <w:sz w:val="32"/>
      <w:szCs w:val="56"/>
    </w:rPr>
  </w:style>
  <w:style w:type="paragraph" w:styleId="af4">
    <w:name w:val="footer"/>
    <w:basedOn w:val="a"/>
    <w:link w:val="af5"/>
    <w:uiPriority w:val="99"/>
    <w:unhideWhenUsed/>
    <w:qFormat/>
    <w:pPr>
      <w:tabs>
        <w:tab w:val="center" w:pos="4677"/>
        <w:tab w:val="right" w:pos="9355"/>
      </w:tabs>
      <w:spacing w:after="0" w:line="240" w:lineRule="auto"/>
    </w:pPr>
  </w:style>
  <w:style w:type="paragraph" w:styleId="af6">
    <w:name w:val="Normal (Web)"/>
    <w:basedOn w:val="a"/>
    <w:uiPriority w:val="99"/>
    <w:semiHidden/>
    <w:unhideWhenUsed/>
    <w:qFormat/>
    <w:pPr>
      <w:spacing w:before="100" w:beforeAutospacing="1" w:after="100" w:afterAutospacing="1" w:line="240" w:lineRule="auto"/>
      <w:ind w:firstLine="0"/>
      <w:jc w:val="left"/>
    </w:pPr>
    <w:rPr>
      <w:rFonts w:eastAsia="Times New Roman" w:cs="Times New Roman"/>
      <w:szCs w:val="24"/>
      <w:lang w:eastAsia="ru-RU"/>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heme="majorEastAsia" w:hAnsi="Times New Roman" w:cstheme="majorBidi"/>
      <w:sz w:val="32"/>
      <w:szCs w:val="32"/>
    </w:rPr>
  </w:style>
  <w:style w:type="character" w:customStyle="1" w:styleId="af3">
    <w:name w:val="Название Знак"/>
    <w:basedOn w:val="a0"/>
    <w:link w:val="af2"/>
    <w:uiPriority w:val="10"/>
    <w:qFormat/>
    <w:rPr>
      <w:rFonts w:ascii="Times New Roman" w:eastAsiaTheme="majorEastAsia" w:hAnsi="Times New Roman" w:cstheme="majorBidi"/>
      <w:b/>
      <w:caps/>
      <w:spacing w:val="100"/>
      <w:kern w:val="28"/>
      <w:sz w:val="32"/>
      <w:szCs w:val="56"/>
    </w:rPr>
  </w:style>
  <w:style w:type="character" w:customStyle="1" w:styleId="20">
    <w:name w:val="Заголовок 2 Знак"/>
    <w:basedOn w:val="a0"/>
    <w:link w:val="2"/>
    <w:uiPriority w:val="9"/>
    <w:qFormat/>
    <w:rPr>
      <w:rFonts w:ascii="Times New Roman" w:eastAsiaTheme="majorEastAsia" w:hAnsi="Times New Roman" w:cstheme="majorBidi"/>
      <w:b/>
      <w:sz w:val="26"/>
      <w:szCs w:val="26"/>
    </w:rPr>
  </w:style>
  <w:style w:type="character" w:customStyle="1" w:styleId="30">
    <w:name w:val="Заголовок 3 Знак"/>
    <w:basedOn w:val="a0"/>
    <w:link w:val="3"/>
    <w:uiPriority w:val="9"/>
    <w:semiHidden/>
    <w:qFormat/>
    <w:rPr>
      <w:rFonts w:ascii="Times New Roman" w:eastAsiaTheme="majorEastAsia" w:hAnsi="Times New Roman" w:cstheme="majorBidi"/>
      <w:b/>
      <w:sz w:val="24"/>
      <w:szCs w:val="24"/>
    </w:rPr>
  </w:style>
  <w:style w:type="character" w:customStyle="1" w:styleId="40">
    <w:name w:val="Заголовок 4 Знак"/>
    <w:basedOn w:val="a0"/>
    <w:link w:val="4"/>
    <w:uiPriority w:val="9"/>
    <w:semiHidden/>
    <w:qFormat/>
    <w:rPr>
      <w:rFonts w:ascii="Times New Roman" w:eastAsiaTheme="majorEastAsia" w:hAnsi="Times New Roman" w:cstheme="majorBidi"/>
      <w:b/>
      <w:i/>
      <w:iCs/>
      <w:sz w:val="24"/>
    </w:rPr>
  </w:style>
  <w:style w:type="paragraph" w:styleId="af8">
    <w:name w:val="Intense Quote"/>
    <w:basedOn w:val="a"/>
    <w:next w:val="a"/>
    <w:link w:val="af9"/>
    <w:uiPriority w:val="30"/>
    <w:qFormat/>
    <w:pPr>
      <w:pBdr>
        <w:top w:val="single" w:sz="4" w:space="10" w:color="auto"/>
        <w:bottom w:val="single" w:sz="4" w:space="10" w:color="auto"/>
      </w:pBdr>
      <w:spacing w:before="360" w:after="360"/>
      <w:ind w:left="864" w:right="864"/>
      <w:jc w:val="center"/>
    </w:pPr>
    <w:rPr>
      <w:i/>
      <w:iCs/>
    </w:rPr>
  </w:style>
  <w:style w:type="character" w:customStyle="1" w:styleId="af9">
    <w:name w:val="Выделенная цитата Знак"/>
    <w:basedOn w:val="a0"/>
    <w:link w:val="af8"/>
    <w:uiPriority w:val="30"/>
    <w:qFormat/>
    <w:rPr>
      <w:rFonts w:ascii="Times New Roman" w:hAnsi="Times New Roman"/>
      <w:i/>
      <w:iCs/>
      <w:sz w:val="24"/>
    </w:rPr>
  </w:style>
  <w:style w:type="character" w:customStyle="1" w:styleId="11">
    <w:name w:val="Сильная ссылка1"/>
    <w:basedOn w:val="a0"/>
    <w:uiPriority w:val="32"/>
    <w:qFormat/>
    <w:rPr>
      <w:b/>
      <w:bCs/>
      <w:smallCaps/>
      <w:color w:val="auto"/>
      <w:spacing w:val="5"/>
    </w:rPr>
  </w:style>
  <w:style w:type="character" w:customStyle="1" w:styleId="12">
    <w:name w:val="Сильное выделение1"/>
    <w:basedOn w:val="a0"/>
    <w:uiPriority w:val="21"/>
    <w:qFormat/>
    <w:rPr>
      <w:i/>
      <w:iCs/>
      <w:color w:val="auto"/>
    </w:rPr>
  </w:style>
  <w:style w:type="character" w:customStyle="1" w:styleId="af">
    <w:name w:val="Верхний колонтитул Знак"/>
    <w:basedOn w:val="a0"/>
    <w:link w:val="ae"/>
    <w:uiPriority w:val="99"/>
    <w:qFormat/>
    <w:rPr>
      <w:rFonts w:ascii="Times New Roman" w:hAnsi="Times New Roman"/>
      <w:sz w:val="24"/>
    </w:rPr>
  </w:style>
  <w:style w:type="character" w:customStyle="1" w:styleId="af5">
    <w:name w:val="Нижний колонтитул Знак"/>
    <w:basedOn w:val="a0"/>
    <w:link w:val="af4"/>
    <w:uiPriority w:val="99"/>
    <w:qFormat/>
    <w:rPr>
      <w:rFonts w:ascii="Times New Roman" w:hAnsi="Times New Roman"/>
      <w:sz w:val="24"/>
    </w:rPr>
  </w:style>
  <w:style w:type="paragraph" w:styleId="afa">
    <w:name w:val="No Spacing"/>
    <w:uiPriority w:val="1"/>
    <w:qFormat/>
    <w:pPr>
      <w:ind w:firstLine="709"/>
      <w:jc w:val="both"/>
    </w:pPr>
    <w:rPr>
      <w:rFonts w:eastAsiaTheme="minorHAnsi" w:cstheme="minorBidi"/>
      <w:sz w:val="24"/>
      <w:szCs w:val="22"/>
      <w:lang w:eastAsia="en-US"/>
    </w:rPr>
  </w:style>
  <w:style w:type="character" w:customStyle="1" w:styleId="a7">
    <w:name w:val="Текст выноски Знак"/>
    <w:basedOn w:val="a0"/>
    <w:link w:val="a6"/>
    <w:uiPriority w:val="99"/>
    <w:semiHidden/>
    <w:qFormat/>
    <w:rPr>
      <w:rFonts w:ascii="Segoe UI" w:hAnsi="Segoe UI" w:cs="Segoe UI"/>
      <w:sz w:val="18"/>
      <w:szCs w:val="18"/>
    </w:rPr>
  </w:style>
  <w:style w:type="paragraph" w:styleId="afb">
    <w:name w:val="List Paragraph"/>
    <w:basedOn w:val="a"/>
    <w:link w:val="afc"/>
    <w:uiPriority w:val="34"/>
    <w:qFormat/>
    <w:pPr>
      <w:ind w:left="720"/>
      <w:contextualSpacing/>
    </w:pPr>
  </w:style>
  <w:style w:type="character" w:customStyle="1" w:styleId="af1">
    <w:name w:val="Основной текст Знак"/>
    <w:basedOn w:val="a0"/>
    <w:link w:val="af0"/>
    <w:qFormat/>
    <w:rPr>
      <w:rFonts w:ascii="Times New Roman" w:eastAsia="Times New Roman" w:hAnsi="Times New Roman" w:cs="Times New Roman"/>
      <w:sz w:val="24"/>
      <w:szCs w:val="24"/>
    </w:rPr>
  </w:style>
  <w:style w:type="character" w:customStyle="1" w:styleId="afc">
    <w:name w:val="Абзац списка Знак"/>
    <w:link w:val="afb"/>
    <w:uiPriority w:val="34"/>
    <w:qFormat/>
    <w:locked/>
    <w:rPr>
      <w:rFonts w:ascii="Times New Roman" w:hAnsi="Times New Roman"/>
      <w:sz w:val="24"/>
    </w:rPr>
  </w:style>
  <w:style w:type="character" w:customStyle="1" w:styleId="ad">
    <w:name w:val="Текст сноски Знак"/>
    <w:basedOn w:val="a0"/>
    <w:link w:val="ac"/>
    <w:uiPriority w:val="99"/>
    <w:semiHidden/>
    <w:qFormat/>
    <w:rPr>
      <w:rFonts w:ascii="Times New Roman" w:eastAsia="Times New Roman" w:hAnsi="Times New Roman" w:cs="Times New Roman"/>
      <w:sz w:val="20"/>
      <w:szCs w:val="20"/>
    </w:rPr>
  </w:style>
  <w:style w:type="character" w:styleId="afd">
    <w:name w:val="Placeholder Text"/>
    <w:uiPriority w:val="99"/>
    <w:semiHidden/>
    <w:qFormat/>
    <w:rPr>
      <w:color w:val="808080"/>
    </w:rPr>
  </w:style>
  <w:style w:type="character" w:customStyle="1" w:styleId="13">
    <w:name w:val="Стиль1"/>
    <w:uiPriority w:val="1"/>
    <w:qFormat/>
    <w:rPr>
      <w:rFonts w:ascii="Times New Roman" w:hAnsi="Times New Roman"/>
      <w:sz w:val="24"/>
    </w:rPr>
  </w:style>
  <w:style w:type="character" w:customStyle="1" w:styleId="41">
    <w:name w:val="Стиль4"/>
    <w:uiPriority w:val="1"/>
    <w:qFormat/>
    <w:rPr>
      <w:rFonts w:ascii="Times New Roman" w:hAnsi="Times New Roman"/>
      <w:sz w:val="24"/>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character" w:customStyle="1" w:styleId="FontStyle11">
    <w:name w:val="Font Style11"/>
    <w:uiPriority w:val="99"/>
    <w:qFormat/>
    <w:rPr>
      <w:rFonts w:ascii="Arial" w:hAnsi="Arial" w:cs="Arial" w:hint="default"/>
      <w:sz w:val="24"/>
      <w:szCs w:val="24"/>
    </w:rPr>
  </w:style>
  <w:style w:type="character" w:customStyle="1" w:styleId="a9">
    <w:name w:val="Текст примечания Знак"/>
    <w:basedOn w:val="a0"/>
    <w:link w:val="a8"/>
    <w:uiPriority w:val="99"/>
    <w:semiHidden/>
    <w:qFormat/>
    <w:rPr>
      <w:rFonts w:eastAsiaTheme="minorHAnsi" w:cstheme="minorBidi"/>
      <w:sz w:val="24"/>
      <w:szCs w:val="22"/>
      <w:lang w:eastAsia="en-US"/>
    </w:rPr>
  </w:style>
  <w:style w:type="character" w:customStyle="1" w:styleId="ab">
    <w:name w:val="Тема примечания Знак"/>
    <w:basedOn w:val="a9"/>
    <w:link w:val="aa"/>
    <w:uiPriority w:val="99"/>
    <w:semiHidden/>
    <w:rPr>
      <w:rFonts w:eastAsiaTheme="minorHAnsi" w:cstheme="minorBidi"/>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12711715/" TargetMode="External"/><Relationship Id="rId5" Type="http://schemas.openxmlformats.org/officeDocument/2006/relationships/settings" Target="settings.xml"/><Relationship Id="rId10" Type="http://schemas.openxmlformats.org/officeDocument/2006/relationships/hyperlink" Target="https://www.garant.ru/products/ipo/prime/doc/412711715/" TargetMode="External"/><Relationship Id="rId4" Type="http://schemas.openxmlformats.org/officeDocument/2006/relationships/styles" Target="styles.xml"/><Relationship Id="rId9" Type="http://schemas.openxmlformats.org/officeDocument/2006/relationships/hyperlink" Target="https://www.garant.ru/products/ipo/prime/doc/4127117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3A5A2-E7BF-4AF6-BCD3-643EB7F9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 Алексей Вячеславович</dc:creator>
  <cp:lastModifiedBy>Ряскова Елена Борисовна</cp:lastModifiedBy>
  <cp:revision>2</cp:revision>
  <cp:lastPrinted>2025-12-26T09:04:00Z</cp:lastPrinted>
  <dcterms:created xsi:type="dcterms:W3CDTF">2026-01-27T09:30:00Z</dcterms:created>
  <dcterms:modified xsi:type="dcterms:W3CDTF">2026-01-27T09:30:00Z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B42579F836104506B2049A1F3747A6F2_13</vt:lpwstr>
  </property>
</Properties>
</file>